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wmf" ContentType="image/x-wmf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120"/>
        <w:contextualSpacing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inline distT="0" distB="0" distL="0" distR="0">
            <wp:extent cx="5760720" cy="1518285"/>
            <wp:effectExtent l="0" t="0" r="0" b="0"/>
            <wp:docPr id="1" name="Obrázek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Obsah1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</w:rPr>
          </w:pPr>
          <w:r>
            <w:fldChar w:fldCharType="begin"/>
          </w:r>
          <w:r>
            <w:rPr>
              <w:webHidden/>
              <w:rStyle w:val="Odkaznarejstk"/>
              <w:w w:val="100"/>
            </w:rPr>
            <w:instrText> TOC \z \h</w:instrText>
          </w:r>
          <w:r>
            <w:rPr>
              <w:webHidden/>
              <w:rStyle w:val="Odkaznarejstk"/>
              <w:w w:val="100"/>
            </w:rPr>
            <w:fldChar w:fldCharType="separate"/>
          </w:r>
          <w:hyperlink w:anchor="_Toc71222157">
            <w:bookmarkStart w:id="0" w:name="_Toc510764295"/>
            <w:bookmarkEnd w:id="0"/>
            <w:r>
              <w:rPr>
                <w:webHidden/>
                <w:rStyle w:val="Odkaznarejstk"/>
                <w:w w:val="100"/>
              </w:rPr>
              <w:t>D.1.</w:t>
            </w:r>
            <w:r>
              <w:rPr>
                <w:rStyle w:val="Odkaznarejstk"/>
                <w:rFonts w:ascii="Calibri" w:hAnsi="Calibri" w:asciiTheme="minorHAnsi" w:hAnsiTheme="minorHAnsi"/>
              </w:rPr>
              <w:tab/>
            </w:r>
            <w:r>
              <w:rPr>
                <w:rStyle w:val="Odkaznarejstk"/>
              </w:rPr>
              <w:t>Zadání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_Toc71222157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</w:rPr>
          </w:pPr>
          <w:hyperlink w:anchor="_Toc71222158">
            <w:r>
              <w:rPr>
                <w:webHidden/>
                <w:rStyle w:val="Odkaznarejstk"/>
                <w:w w:val="100"/>
              </w:rPr>
              <w:t>D.2.</w:t>
            </w:r>
            <w:r>
              <w:rPr>
                <w:rStyle w:val="Odkaznarejstk"/>
                <w:rFonts w:ascii="Calibri" w:hAnsi="Calibri" w:asciiTheme="minorHAnsi" w:hAnsiTheme="minorHAnsi"/>
              </w:rPr>
              <w:tab/>
            </w:r>
            <w:r>
              <w:rPr>
                <w:rStyle w:val="Odkaznarejstk"/>
              </w:rPr>
              <w:t>Vytápění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_Toc71222158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59">
            <w:r>
              <w:rPr>
                <w:webHidden/>
                <w:rStyle w:val="Odkaznarejstk"/>
              </w:rPr>
              <w:t>a)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Stávající stav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_Toc71222159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0">
            <w:r>
              <w:rPr>
                <w:webHidden/>
                <w:rStyle w:val="Odkaznarejstk"/>
              </w:rPr>
              <w:t>b)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Navrhovaný stav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_Toc71222160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1">
            <w:r>
              <w:rPr>
                <w:webHidden/>
                <w:rStyle w:val="Odkaznarejstk"/>
              </w:rPr>
              <w:t>c)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Spotřeba tepla pro vytápění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_Toc71222161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2">
            <w:r>
              <w:rPr>
                <w:webHidden/>
                <w:rStyle w:val="Odkaznarejstk"/>
              </w:rPr>
              <w:t>d)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Tepelný výkon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_Toc71222162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3">
            <w:r>
              <w:rPr>
                <w:webHidden/>
                <w:rStyle w:val="Odkaznarejstk"/>
              </w:rPr>
              <w:t>e)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Zdroj tepla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_Toc71222163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4">
            <w:r>
              <w:rPr>
                <w:webHidden/>
                <w:rStyle w:val="Odkaznarejstk"/>
                <w:lang w:eastAsia="ar-SA"/>
              </w:rPr>
              <w:t>f)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  <w:lang w:eastAsia="ar-SA"/>
              </w:rPr>
              <w:t>Pojistné a zabezpečovací zařízení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_Toc71222164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5">
            <w:r>
              <w:rPr>
                <w:webHidden/>
                <w:rStyle w:val="Odkaznarejstk"/>
                <w:lang w:eastAsia="ar-SA"/>
              </w:rPr>
              <w:t>g)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  <w:lang w:eastAsia="ar-SA"/>
              </w:rPr>
              <w:t>Ocelová desková tělesa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_Toc71222165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6">
            <w:r>
              <w:rPr>
                <w:webHidden/>
                <w:rStyle w:val="Odkaznarejstk"/>
              </w:rPr>
              <w:t>h)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Regulace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_Toc71222166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7">
            <w:r>
              <w:rPr>
                <w:webHidden/>
                <w:rStyle w:val="Odkaznarejstk"/>
              </w:rPr>
              <w:t>i)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Potrubí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8">
            <w:r>
              <w:rPr>
                <w:webHidden/>
                <w:rStyle w:val="Odkaznarejstk"/>
              </w:rPr>
              <w:t>j)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Armatury v potrubí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69">
            <w:r>
              <w:rPr>
                <w:webHidden/>
                <w:rStyle w:val="Odkaznarejstk"/>
              </w:rPr>
              <w:t>k)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Tepelné izolace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_Toc71222169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70">
            <w:r>
              <w:rPr>
                <w:webHidden/>
                <w:rStyle w:val="Odkaznarejstk"/>
              </w:rPr>
              <w:t>l)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Přepojení v tělocvičně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_Toc71222170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</w:rPr>
          </w:pPr>
          <w:hyperlink w:anchor="_Toc71222171">
            <w:r>
              <w:rPr>
                <w:webHidden/>
                <w:rStyle w:val="Odkaznarejstk"/>
                <w:w w:val="100"/>
              </w:rPr>
              <w:t>D.3.</w:t>
            </w:r>
            <w:r>
              <w:rPr>
                <w:rStyle w:val="Odkaznarejstk"/>
                <w:rFonts w:ascii="Calibri" w:hAnsi="Calibri" w:asciiTheme="minorHAnsi" w:hAnsiTheme="minorHAnsi"/>
              </w:rPr>
              <w:tab/>
            </w:r>
            <w:r>
              <w:rPr>
                <w:rStyle w:val="Odkaznarejstk"/>
              </w:rPr>
              <w:t>Zásady ochrany zdraví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_Toc71222171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660" w:leader="none"/>
              <w:tab w:val="right" w:pos="9062" w:leader="dot"/>
            </w:tabs>
            <w:rPr/>
          </w:pPr>
          <w:hyperlink w:anchor="_Toc71222172">
            <w:r>
              <w:rPr>
                <w:webHidden/>
                <w:rStyle w:val="Odkaznarejstk"/>
                <w:w w:val="100"/>
              </w:rPr>
              <w:t>D.4.</w:t>
            </w:r>
            <w:r>
              <w:rPr>
                <w:rStyle w:val="Odkaznarejstk"/>
                <w:rFonts w:ascii="Calibri" w:hAnsi="Calibri" w:asciiTheme="minorHAnsi" w:hAnsiTheme="minorHAnsi"/>
              </w:rPr>
              <w:tab/>
            </w:r>
            <w:r>
              <w:rPr>
                <w:rStyle w:val="Odkaznarejstk"/>
              </w:rPr>
              <w:t>Ochrana proti hluku a vibracím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_Toc71222172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</w:rPr>
          </w:pPr>
          <w:hyperlink w:anchor="_Toc71222173">
            <w:r>
              <w:rPr>
                <w:webHidden/>
                <w:rStyle w:val="Odkaznarejstk"/>
                <w:w w:val="100"/>
                <w:lang w:eastAsia="ar-SA"/>
              </w:rPr>
              <w:t>D.5.</w:t>
            </w:r>
            <w:r>
              <w:rPr>
                <w:rStyle w:val="Odkaznarejstk"/>
                <w:rFonts w:ascii="Calibri" w:hAnsi="Calibri" w:asciiTheme="minorHAnsi" w:hAnsiTheme="minorHAnsi"/>
              </w:rPr>
              <w:tab/>
            </w:r>
            <w:r>
              <w:rPr>
                <w:rStyle w:val="Odkaznarejstk"/>
                <w:lang w:eastAsia="ar-SA"/>
              </w:rPr>
              <w:t>Životní prostředí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_Toc71222173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74">
            <w:r>
              <w:rPr>
                <w:webHidden/>
                <w:rStyle w:val="Odkaznarejstk"/>
                <w:lang w:eastAsia="ar-SA"/>
              </w:rPr>
              <w:t>a)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  <w:lang w:eastAsia="ar-SA"/>
              </w:rPr>
              <w:t>Ovzduší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_Toc71222174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  <w:b w:val="false"/>
              <w:b w:val="false"/>
              <w:sz w:val="22"/>
            </w:rPr>
          </w:pPr>
          <w:hyperlink w:anchor="_Toc71222175">
            <w:r>
              <w:rPr>
                <w:webHidden/>
                <w:rStyle w:val="Odkaznarejstk"/>
                <w:lang w:eastAsia="ar-SA"/>
              </w:rPr>
              <w:t>b)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  <w:lang w:eastAsia="ar-SA"/>
              </w:rPr>
              <w:t>Odpady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_Toc71222175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</w:rPr>
          </w:pPr>
          <w:hyperlink w:anchor="_Toc71222176">
            <w:r>
              <w:rPr>
                <w:webHidden/>
                <w:rStyle w:val="Odkaznarejstk"/>
                <w:w w:val="100"/>
                <w:lang w:eastAsia="ar-SA"/>
              </w:rPr>
              <w:t>D.6.</w:t>
            </w:r>
            <w:r>
              <w:rPr>
                <w:rStyle w:val="Odkaznarejstk"/>
                <w:rFonts w:ascii="Calibri" w:hAnsi="Calibri" w:asciiTheme="minorHAnsi" w:hAnsiTheme="minorHAnsi"/>
              </w:rPr>
              <w:tab/>
            </w:r>
            <w:r>
              <w:rPr>
                <w:rStyle w:val="Odkaznarejstk"/>
                <w:lang w:eastAsia="ar-SA"/>
              </w:rPr>
              <w:t>Specifikace materiálu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_Toc71222176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1"/>
            <w:tabs>
              <w:tab w:val="clear" w:pos="708"/>
              <w:tab w:val="left" w:pos="660" w:leader="none"/>
              <w:tab w:val="right" w:pos="9062" w:leader="dot"/>
            </w:tabs>
            <w:rPr>
              <w:rFonts w:ascii="Calibri" w:hAnsi="Calibri" w:asciiTheme="minorHAnsi" w:hAnsiTheme="minorHAnsi"/>
            </w:rPr>
          </w:pPr>
          <w:hyperlink w:anchor="_Toc71222177">
            <w:r>
              <w:rPr>
                <w:webHidden/>
                <w:rStyle w:val="Odkaznarejstk"/>
                <w:w w:val="100"/>
              </w:rPr>
              <w:t>D.7.</w:t>
            </w:r>
            <w:r>
              <w:rPr>
                <w:rStyle w:val="Odkaznarejstk"/>
                <w:rFonts w:ascii="Calibri" w:hAnsi="Calibri" w:asciiTheme="minorHAnsi" w:hAnsiTheme="minorHAnsi"/>
              </w:rPr>
              <w:tab/>
            </w:r>
            <w:r>
              <w:rPr>
                <w:rStyle w:val="Odkaznarejstk"/>
              </w:rPr>
              <w:t>Příloha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_Toc71222177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Obsah3"/>
            <w:tabs>
              <w:tab w:val="clear" w:pos="708"/>
              <w:tab w:val="left" w:pos="660" w:leader="none"/>
              <w:tab w:val="right" w:pos="9062" w:leader="dot"/>
            </w:tabs>
            <w:rPr/>
          </w:pPr>
          <w:hyperlink w:anchor="_Toc71222178">
            <w:r>
              <w:rPr>
                <w:webHidden/>
                <w:rStyle w:val="Odkaznarejstk"/>
              </w:rPr>
              <w:t>a)</w:t>
            </w:r>
            <w:r>
              <w:rPr>
                <w:rStyle w:val="Odkaznarejstk"/>
                <w:rFonts w:ascii="Calibri" w:hAnsi="Calibri" w:asciiTheme="minorHAnsi" w:hAnsiTheme="minorHAnsi"/>
                <w:b w:val="false"/>
                <w:sz w:val="22"/>
              </w:rPr>
              <w:tab/>
            </w:r>
            <w:r>
              <w:rPr>
                <w:rStyle w:val="Odkaznarejstk"/>
              </w:rPr>
              <w:t>Tepelný výkon ČSN EN 12831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_Toc71222178 \h</w:instrText>
            </w:r>
            <w:r>
              <w:rPr>
                <w:webHidden/>
              </w:rPr>
              <w:fldChar w:fldCharType="separate"/>
            </w:r>
            <w:r>
              <w:rPr>
                <w:rStyle w:val="Odkaznarejstk"/>
                <w:vanish w:val="false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  <w:r>
            <w:rPr>
              <w:rStyle w:val="Odkaznarejstk"/>
              <w:vanish w:val="false"/>
            </w:rPr>
            <w:fldChar w:fldCharType="end"/>
          </w:r>
        </w:p>
      </w:sdtContent>
    </w:sdt>
    <w:p>
      <w:pPr>
        <w:pStyle w:val="Styl2"/>
        <w:numPr>
          <w:ilvl w:val="0"/>
          <w:numId w:val="0"/>
        </w:numPr>
        <w:ind w:left="720" w:hanging="0"/>
        <w:rPr/>
      </w:pPr>
      <w:r>
        <w:rPr/>
      </w:r>
    </w:p>
    <w:p>
      <w:pPr>
        <w:pStyle w:val="Normln1"/>
        <w:rPr>
          <w:rFonts w:eastAsia="Times New Roman" w:cs="Times New Roman"/>
          <w:szCs w:val="20"/>
          <w:lang w:eastAsia="ar-SA"/>
        </w:rPr>
      </w:pPr>
      <w:r>
        <w:rPr>
          <w:rFonts w:eastAsia="Times New Roman" w:cs="Times New Roman"/>
          <w:szCs w:val="20"/>
          <w:lang w:eastAsia="ar-SA"/>
        </w:rPr>
      </w:r>
      <w:r>
        <w:br w:type="page"/>
      </w:r>
    </w:p>
    <w:p>
      <w:pPr>
        <w:pStyle w:val="Muj1"/>
        <w:numPr>
          <w:ilvl w:val="0"/>
          <w:numId w:val="1"/>
        </w:numPr>
        <w:rPr/>
      </w:pPr>
      <w:bookmarkStart w:id="1" w:name="_Toc71222157"/>
      <w:r>
        <w:rPr/>
        <w:t>Zadání</w:t>
      </w:r>
      <w:bookmarkEnd w:id="1"/>
    </w:p>
    <w:p>
      <w:pPr>
        <w:pStyle w:val="Normal"/>
        <w:rPr/>
      </w:pPr>
      <w:r>
        <w:rPr/>
        <w:t xml:space="preserve">Předmětem projektové dokumentace je vytápění budovy dílen v areálu školy.  Vytápění řeší kompletní výměnu otopné soustavy a její přepojení na soustavu stávající. Instalována budou desková ocelová tělesa typ VK. V souvislosti s propojením do tělocvičny bude v tělocvičně zrušeno jedno stávající litinové článkové otopné těleso.  </w:t>
      </w:r>
    </w:p>
    <w:p>
      <w:pPr>
        <w:pStyle w:val="Muj1"/>
        <w:numPr>
          <w:ilvl w:val="0"/>
          <w:numId w:val="1"/>
        </w:numPr>
        <w:rPr/>
      </w:pPr>
      <w:bookmarkStart w:id="2" w:name="_Toc71222158"/>
      <w:r>
        <w:rPr/>
        <w:t>Vytápění</w:t>
      </w:r>
      <w:bookmarkEnd w:id="2"/>
    </w:p>
    <w:p>
      <w:pPr>
        <w:pStyle w:val="Muj3"/>
        <w:numPr>
          <w:ilvl w:val="2"/>
          <w:numId w:val="1"/>
        </w:numPr>
        <w:rPr/>
      </w:pPr>
      <w:bookmarkStart w:id="3" w:name="_Toc71222159"/>
      <w:r>
        <w:rPr/>
        <w:t>Stávající stav</w:t>
      </w:r>
      <w:bookmarkEnd w:id="3"/>
    </w:p>
    <w:p>
      <w:pPr>
        <w:pStyle w:val="Normal"/>
        <w:rPr/>
      </w:pPr>
      <w:r>
        <w:rPr/>
        <w:t xml:space="preserve">Škola je napojena na systém CZT. Předávací stanice je umístěna v 1. PP hlavní budovy. Dílny a tělocvična jsou napojeny z rozdělovače a sběrače samostatným provozním směšovaným okruhem s elektronicky řízeným teplovodním oběhovým čerpadlem. Otopná soustava dílen je dvoutrubková teplovodní, uzavřená s nuceným oběhem otopné vody. </w:t>
      </w:r>
    </w:p>
    <w:p>
      <w:pPr>
        <w:pStyle w:val="Muj3"/>
        <w:numPr>
          <w:ilvl w:val="2"/>
          <w:numId w:val="1"/>
        </w:numPr>
        <w:rPr/>
      </w:pPr>
      <w:bookmarkStart w:id="4" w:name="_Toc71222160"/>
      <w:r>
        <w:rPr/>
        <w:t>Navrhovaný stav</w:t>
      </w:r>
      <w:bookmarkEnd w:id="4"/>
    </w:p>
    <w:p>
      <w:pPr>
        <w:pStyle w:val="Normal"/>
        <w:rPr/>
      </w:pPr>
      <w:r>
        <w:rPr/>
        <w:t xml:space="preserve">Pro vytápění dílen je navržen jeden provozní okruh rozdělený na tři větve. Okruh bude napojen na stávající přívodní potrubí otopné vody v místnosti č. 103 úklidová komora. Na patě okruhu budou osazeny uzavírací kohouty, vypouštění a teploměry. Ve vytápěných místnostech budou instalována desková ocelová tělesa typ ventil kompakt osazená termostatickými hlavicemi. Větve budou uzavíratelné s armaturami pro měření a regulaci průtoku.    </w:t>
      </w:r>
    </w:p>
    <w:p>
      <w:pPr>
        <w:pStyle w:val="Muj3"/>
        <w:numPr>
          <w:ilvl w:val="2"/>
          <w:numId w:val="1"/>
        </w:numPr>
        <w:rPr/>
      </w:pPr>
      <w:bookmarkStart w:id="5" w:name="_Toc71222161"/>
      <w:r>
        <w:rPr/>
        <w:t>Spotřeba tepla pro vytápění</w:t>
      </w:r>
      <w:bookmarkEnd w:id="5"/>
    </w:p>
    <w:p>
      <w:pPr>
        <w:pStyle w:val="Normal"/>
        <w:rPr/>
      </w:pPr>
      <w:r>
        <w:rPr/>
        <w:t xml:space="preserve">Spotřeba tepla pro vytápění bude v důsledku výměny oken a zateplení snížena.  </w:t>
      </w:r>
    </w:p>
    <w:p>
      <w:pPr>
        <w:pStyle w:val="Muj3"/>
        <w:numPr>
          <w:ilvl w:val="2"/>
          <w:numId w:val="1"/>
        </w:numPr>
        <w:rPr/>
      </w:pPr>
      <w:bookmarkStart w:id="6" w:name="_Toc71222162"/>
      <w:r>
        <w:rPr/>
        <w:t>Tepelný výkon</w:t>
      </w:r>
      <w:bookmarkEnd w:id="6"/>
    </w:p>
    <w:p>
      <w:pPr>
        <w:pStyle w:val="Normal"/>
        <w:rPr/>
      </w:pPr>
      <w:r>
        <w:rPr/>
        <w:t xml:space="preserve">Tepelná ztráta prostupem </w:t>
        <w:tab/>
        <w:tab/>
        <w:tab/>
        <w:t>16480 W</w:t>
      </w:r>
    </w:p>
    <w:p>
      <w:pPr>
        <w:pStyle w:val="Normal"/>
        <w:rPr/>
      </w:pPr>
      <w:r>
        <w:rPr/>
        <w:t xml:space="preserve">Teplená ztráta větráním </w:t>
        <w:tab/>
        <w:tab/>
        <w:tab/>
        <w:t>13440 W</w:t>
      </w:r>
    </w:p>
    <w:p>
      <w:pPr>
        <w:pStyle w:val="Normal"/>
        <w:rPr/>
      </w:pPr>
      <w:r>
        <w:rPr/>
        <w:t>Tepelný výkon pro přerušované vytápění</w:t>
        <w:tab/>
        <w:t xml:space="preserve">  8410 W</w:t>
      </w:r>
    </w:p>
    <w:p>
      <w:pPr>
        <w:pStyle w:val="Normal"/>
        <w:rPr/>
      </w:pPr>
      <w:r>
        <w:rPr/>
        <w:t xml:space="preserve">Celkový navrhovaný tepelný výkon </w:t>
        <w:tab/>
        <w:tab/>
        <w:t>38330 W</w:t>
      </w:r>
    </w:p>
    <w:p>
      <w:pPr>
        <w:pStyle w:val="Normal"/>
        <w:rPr/>
      </w:pPr>
      <w:r>
        <w:rPr/>
        <w:t>Instalovaný tepelný výkon okruhu dílen</w:t>
        <w:tab/>
        <w:t>43580 W</w:t>
      </w:r>
    </w:p>
    <w:p>
      <w:pPr>
        <w:pStyle w:val="Muj3"/>
        <w:numPr>
          <w:ilvl w:val="2"/>
          <w:numId w:val="1"/>
        </w:numPr>
        <w:rPr/>
      </w:pPr>
      <w:bookmarkStart w:id="7" w:name="_Toc71222163"/>
      <w:r>
        <w:rPr/>
        <w:t>Zdroj tepla</w:t>
      </w:r>
      <w:bookmarkEnd w:id="7"/>
    </w:p>
    <w:p>
      <w:pPr>
        <w:pStyle w:val="Normal"/>
        <w:rPr/>
      </w:pPr>
      <w:r>
        <w:rPr/>
        <w:t xml:space="preserve">CZT. </w:t>
      </w:r>
    </w:p>
    <w:p>
      <w:pPr>
        <w:pStyle w:val="Muj3"/>
        <w:numPr>
          <w:ilvl w:val="2"/>
          <w:numId w:val="1"/>
        </w:numPr>
        <w:rPr>
          <w:lang w:eastAsia="ar-SA"/>
        </w:rPr>
      </w:pPr>
      <w:bookmarkStart w:id="8" w:name="_Toc71222164"/>
      <w:r>
        <w:rPr>
          <w:lang w:eastAsia="ar-SA"/>
        </w:rPr>
        <w:t>Pojistné a zabezpečovací zařízení</w:t>
      </w:r>
      <w:bookmarkEnd w:id="8"/>
    </w:p>
    <w:p>
      <w:pPr>
        <w:pStyle w:val="Normal"/>
        <w:rPr>
          <w:lang w:eastAsia="ar-SA"/>
        </w:rPr>
      </w:pPr>
      <w:r>
        <w:rPr>
          <w:lang w:eastAsia="ar-SA"/>
        </w:rPr>
        <w:t xml:space="preserve">Bude stávající, nebude stavebními úpravami dotčeno. Vodní objem soustavy se sníží. </w:t>
      </w:r>
    </w:p>
    <w:p>
      <w:pPr>
        <w:pStyle w:val="Muj3"/>
        <w:numPr>
          <w:ilvl w:val="2"/>
          <w:numId w:val="1"/>
        </w:numPr>
        <w:rPr>
          <w:lang w:eastAsia="ar-SA"/>
        </w:rPr>
      </w:pPr>
      <w:bookmarkStart w:id="9" w:name="_Toc71222165"/>
      <w:r>
        <w:rPr>
          <w:lang w:eastAsia="ar-SA"/>
        </w:rPr>
        <w:t>Ocelová desková tělesa</w:t>
      </w:r>
      <w:bookmarkEnd w:id="9"/>
    </w:p>
    <w:p>
      <w:pPr>
        <w:pStyle w:val="Normal"/>
        <w:rPr>
          <w:lang w:eastAsia="ar-SA"/>
        </w:rPr>
      </w:pPr>
      <w:r>
        <w:rPr>
          <w:lang w:eastAsia="ar-SA"/>
        </w:rPr>
        <w:t xml:space="preserve">Ve vytápěných místnostech budou instalována nová ocelová desková tělesa, se spodním pravým připojením, s integrovaným termostatickým ventilem typ VK. Tělesa budou na soustavu napojena ze zdi přes rohové uzavírací a regulační šroubení. Integrovaný termostatický ventil bude osazen ruční termostatickou hlavicí. </w:t>
      </w:r>
    </w:p>
    <w:p>
      <w:pPr>
        <w:pStyle w:val="Muj3"/>
        <w:numPr>
          <w:ilvl w:val="2"/>
          <w:numId w:val="1"/>
        </w:numPr>
        <w:rPr/>
      </w:pPr>
      <w:bookmarkStart w:id="10" w:name="_Toc71222166"/>
      <w:r>
        <w:rPr/>
        <w:t>Regulace</w:t>
      </w:r>
      <w:bookmarkEnd w:id="10"/>
    </w:p>
    <w:p>
      <w:pPr>
        <w:pStyle w:val="Normal"/>
        <w:rPr/>
      </w:pPr>
      <w:r>
        <w:rPr/>
        <w:t xml:space="preserve">Nezávislé vytápění místností bude zajištěno prostřednictvím termostatických hlavic. </w:t>
      </w:r>
    </w:p>
    <w:p>
      <w:pPr>
        <w:pStyle w:val="Muj3"/>
        <w:numPr>
          <w:ilvl w:val="2"/>
          <w:numId w:val="1"/>
        </w:numPr>
        <w:rPr/>
      </w:pPr>
      <w:bookmarkStart w:id="11" w:name="_Toc71222167"/>
      <w:r>
        <w:rPr/>
        <w:t>Potrubí</w:t>
      </w:r>
      <w:bookmarkEnd w:id="11"/>
    </w:p>
    <w:p>
      <w:pPr>
        <w:pStyle w:val="Normal"/>
        <w:rPr/>
      </w:pPr>
      <w:r>
        <w:rPr/>
        <w:t xml:space="preserve">Nový větvený okruh dílen je navržen z měděných trubek. Spojování potrubí může být provedeno tvarovkami ke kapilárnímu pájenými nebo lisovanými tvarovkami. Při přechodu na jiný materiál a armatury budou použity přechodové tvarovky.  </w:t>
      </w:r>
    </w:p>
    <w:p>
      <w:pPr>
        <w:pStyle w:val="Muj3"/>
        <w:numPr>
          <w:ilvl w:val="2"/>
          <w:numId w:val="1"/>
        </w:numPr>
        <w:rPr/>
      </w:pPr>
      <w:bookmarkStart w:id="12" w:name="_Toc71222168"/>
      <w:r>
        <w:rPr/>
        <w:t>Armatury v potrubí</w:t>
      </w:r>
      <w:bookmarkEnd w:id="12"/>
    </w:p>
    <w:p>
      <w:pPr>
        <w:pStyle w:val="Normal"/>
        <w:rPr/>
      </w:pPr>
      <w:r>
        <w:rPr/>
        <w:t xml:space="preserve">Na patě okruhu dílen v místě za přepojením, bude v přívodním a vratném potrubí instalován kulový kohout, vypouštěcí kohout a teploměr. V nejvyšším místě okruhu budou instalovány automatické odvzdušňovací ventily. Větve budou v přívodním potrubí osazeny kulovými kohouty a ve vratném potrubí vyvažovacími ventily s vypouštěním.  </w:t>
      </w:r>
    </w:p>
    <w:p>
      <w:pPr>
        <w:pStyle w:val="Muj3"/>
        <w:numPr>
          <w:ilvl w:val="2"/>
          <w:numId w:val="1"/>
        </w:numPr>
        <w:rPr/>
      </w:pPr>
      <w:bookmarkStart w:id="13" w:name="_Toc71222169"/>
      <w:r>
        <w:rPr/>
        <w:t>Tepelné izolace</w:t>
      </w:r>
      <w:bookmarkEnd w:id="13"/>
    </w:p>
    <w:p>
      <w:pPr>
        <w:pStyle w:val="Normal"/>
        <w:rPr/>
      </w:pPr>
      <w:r>
        <w:rPr/>
        <w:t xml:space="preserve">Nový větvený okruh dílen bude veden skrytě (podlaha, zeď, prostor nad podhledem), bude opatřeno návlekovou tepelnou izolací PE v pouzdrech v tloušťkách dle Vyhl. 193/2007. </w:t>
      </w:r>
    </w:p>
    <w:p>
      <w:pPr>
        <w:pStyle w:val="Muj3"/>
        <w:numPr>
          <w:ilvl w:val="2"/>
          <w:numId w:val="1"/>
        </w:numPr>
        <w:rPr/>
      </w:pPr>
      <w:bookmarkStart w:id="14" w:name="_Toc71222170"/>
      <w:r>
        <w:rPr/>
        <w:t>Přepojení v tělocvičně</w:t>
      </w:r>
      <w:bookmarkEnd w:id="14"/>
    </w:p>
    <w:p>
      <w:pPr>
        <w:pStyle w:val="Normal"/>
        <w:rPr/>
      </w:pPr>
      <w:r>
        <w:rPr/>
        <w:t xml:space="preserve">V souvislosti s novým propojením dílen a tělocvičny bude demontováno jedno litinové článkové těleso a část stávajícího připojovacího potrubí z ocelových trubek. Zbylá tři tělesa instalovaná na dotčené stěně budou připojena z nového horního rozvodu z ocelových trubek. Potrubí bude opatřena základním a vrchním nátěrem. </w:t>
      </w:r>
    </w:p>
    <w:p>
      <w:pPr>
        <w:pStyle w:val="Muj1"/>
        <w:numPr>
          <w:ilvl w:val="0"/>
          <w:numId w:val="1"/>
        </w:numPr>
        <w:rPr/>
      </w:pPr>
      <w:bookmarkStart w:id="15" w:name="_Toc71222171"/>
      <w:r>
        <w:rPr/>
        <w:t>Zásady ochrany zdraví</w:t>
      </w:r>
      <w:bookmarkEnd w:id="15"/>
    </w:p>
    <w:p>
      <w:pPr>
        <w:pStyle w:val="Normal"/>
        <w:rPr/>
      </w:pPr>
      <w:r>
        <w:rPr/>
        <w:t xml:space="preserve">Při provádění prací budou dodržovány předpisy k zajištění bezpečnosti práce a ochrany zdraví zaměstnanců a osob v souladu s příslušnými právními předpisy (Vyhl. 48/1982 ČÚBP). Dodavatel stavby zajistí plán bezpečnosti a ochrany zdraví při práci na staveništi, který bude zpracován v souladu se zákonem č.309/2006 Sb. - Zákon o zajištění dalších podmínek bezpečnosti a ochrany zdraví při práci. Dodavatel je po dobu výstavby povinný zabezpečit bezpečnost práce pro své pracovníky i pracovníky jiných firem, kteří budou na stavbě provádět dodávky, nebo dozor. </w:t>
      </w:r>
    </w:p>
    <w:p>
      <w:pPr>
        <w:pStyle w:val="Muj1"/>
        <w:numPr>
          <w:ilvl w:val="0"/>
          <w:numId w:val="1"/>
        </w:numPr>
        <w:rPr/>
      </w:pPr>
      <w:bookmarkStart w:id="16" w:name="_Toc71222172"/>
      <w:r>
        <w:rPr/>
        <w:t>Ochrana proti hluku a vibracím</w:t>
      </w:r>
      <w:bookmarkEnd w:id="16"/>
    </w:p>
    <w:p>
      <w:pPr>
        <w:pStyle w:val="Normal"/>
        <w:rPr/>
      </w:pPr>
      <w:r>
        <w:rPr/>
        <w:t>Není navrhována. Při správném hydraulickém vyregulování otopné soustavy nebude soustava a zejména termostatické ventily zdrojem hluku a vibrací.</w:t>
      </w:r>
    </w:p>
    <w:p>
      <w:pPr>
        <w:pStyle w:val="Muj1"/>
        <w:numPr>
          <w:ilvl w:val="0"/>
          <w:numId w:val="1"/>
        </w:numPr>
        <w:rPr>
          <w:lang w:eastAsia="ar-SA"/>
        </w:rPr>
      </w:pPr>
      <w:bookmarkStart w:id="17" w:name="_Toc71222173"/>
      <w:r>
        <w:rPr>
          <w:lang w:eastAsia="ar-SA"/>
        </w:rPr>
        <w:t>Životní prostředí</w:t>
      </w:r>
      <w:bookmarkEnd w:id="17"/>
    </w:p>
    <w:p>
      <w:pPr>
        <w:pStyle w:val="Muj3"/>
        <w:numPr>
          <w:ilvl w:val="2"/>
          <w:numId w:val="1"/>
        </w:numPr>
        <w:rPr>
          <w:lang w:eastAsia="ar-SA"/>
        </w:rPr>
      </w:pPr>
      <w:bookmarkStart w:id="18" w:name="_Toc71222174"/>
      <w:r>
        <w:rPr>
          <w:lang w:eastAsia="ar-SA"/>
        </w:rPr>
        <w:t>Ovzduší</w:t>
      </w:r>
      <w:bookmarkEnd w:id="18"/>
    </w:p>
    <w:p>
      <w:pPr>
        <w:pStyle w:val="Normal"/>
        <w:rPr>
          <w:lang w:eastAsia="ar-SA"/>
        </w:rPr>
      </w:pPr>
      <w:r>
        <w:rPr>
          <w:lang w:eastAsia="ar-SA"/>
        </w:rPr>
        <w:t xml:space="preserve">Vlastní otopná soustava zásobovaná z CZT je bez vlivu na ovzduší. Zateplením budovy dílen dojde ke snížení roční spotřeby energie a tím i snížení emisi CO2 </w:t>
      </w:r>
    </w:p>
    <w:p>
      <w:pPr>
        <w:pStyle w:val="Muj3"/>
        <w:numPr>
          <w:ilvl w:val="2"/>
          <w:numId w:val="1"/>
        </w:numPr>
        <w:rPr>
          <w:lang w:eastAsia="ar-SA"/>
        </w:rPr>
      </w:pPr>
      <w:bookmarkStart w:id="19" w:name="_Toc71222175"/>
      <w:r>
        <w:rPr>
          <w:lang w:eastAsia="ar-SA"/>
        </w:rPr>
        <w:t>Odpady</w:t>
      </w:r>
      <w:bookmarkEnd w:id="19"/>
    </w:p>
    <w:p>
      <w:pPr>
        <w:pStyle w:val="Normal"/>
        <w:rPr/>
      </w:pPr>
      <w:r>
        <w:rPr/>
        <w:t>Stavební práce budou probíhat tak, aby produkované množství odpadů a emisí bylo minimalizováno.</w:t>
      </w:r>
    </w:p>
    <w:p>
      <w:pPr>
        <w:pStyle w:val="Normal"/>
        <w:rPr/>
      </w:pPr>
      <w:r>
        <w:rPr/>
        <w:t>S veškerým odpadem vzniklým při této stavbě, bude nakládáno podle zákona č. 541/2020 Sb. o odpadech.</w:t>
      </w:r>
    </w:p>
    <w:p>
      <w:pPr>
        <w:pStyle w:val="Normal"/>
        <w:rPr/>
      </w:pPr>
      <w:r>
        <w:rPr/>
        <w:t>Během výstavby vzniknou odpady z obalů, stavební a demoliční odpady a komunální odpady. Podle „Metodického návod odboru odpadů Ministerstva životního prostředí pro řízení vzniku stavebních a demoličních odpadů a pro nakládání s nimi, příloha č. 1“ se bude jednat o odpady vhodné k recyklaci.</w:t>
      </w:r>
    </w:p>
    <w:p>
      <w:pPr>
        <w:pStyle w:val="Normal"/>
        <w:rPr/>
      </w:pPr>
      <w:r>
        <w:rPr/>
        <w:t>Odpady nebudou na stavebním pozemku shromažďovány. Při vzniku budou tříděny, nakládány, odváženy a</w:t>
      </w:r>
    </w:p>
    <w:p>
      <w:pPr>
        <w:pStyle w:val="Normal"/>
        <w:rPr/>
      </w:pPr>
      <w:r>
        <w:rPr/>
        <w:t>předány osobě oprávněné k nakládání s odpady, která zajistí jeho recyklaci. Ke kolaudačnímu řízení budou</w:t>
      </w:r>
    </w:p>
    <w:p>
      <w:pPr>
        <w:pStyle w:val="Normal"/>
        <w:rPr/>
      </w:pPr>
      <w:r>
        <w:rPr/>
        <w:t>předloženy doklady o tom, jak bylo s odpady ze stavby naloženo. Odkaz na přehled zařízení k nakládání s odpady: http://www.cheb.cz/prehled-zarizeni-k-nakladani-s-odpady/d-350746/p1=75770</w:t>
      </w:r>
    </w:p>
    <w:p>
      <w:pPr>
        <w:pStyle w:val="Normal"/>
        <w:rPr/>
      </w:pPr>
      <w:r>
        <w:rPr/>
        <w:t>Přehled očekávaných druhů odpadů vznikajících při výstavbě:</w:t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855"/>
        <w:gridCol w:w="5378"/>
        <w:gridCol w:w="389"/>
        <w:gridCol w:w="1159"/>
        <w:gridCol w:w="1291"/>
      </w:tblGrid>
      <w:tr>
        <w:trPr>
          <w:trHeight w:val="270" w:hRule="atLeast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93/2016 Sb.</w:t>
            </w:r>
          </w:p>
        </w:tc>
        <w:tc>
          <w:tcPr>
            <w:tcW w:w="5378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Specifikace odpadu</w:t>
            </w:r>
          </w:p>
        </w:tc>
        <w:tc>
          <w:tcPr>
            <w:tcW w:w="38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Kat.</w:t>
            </w:r>
          </w:p>
        </w:tc>
        <w:tc>
          <w:tcPr>
            <w:tcW w:w="115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Způsob naložení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b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6"/>
                <w:szCs w:val="16"/>
              </w:rPr>
              <w:t>Předpoklad. mn. (t)</w:t>
            </w:r>
          </w:p>
        </w:tc>
      </w:tr>
      <w:tr>
        <w:trPr>
          <w:trHeight w:val="660" w:hRule="atLeast"/>
        </w:trPr>
        <w:tc>
          <w:tcPr>
            <w:tcW w:w="85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15 01</w:t>
            </w:r>
          </w:p>
        </w:tc>
        <w:tc>
          <w:tcPr>
            <w:tcW w:w="5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Obaly (včetně odděleně sbíraného komunálního obalového odpadu)</w:t>
            </w:r>
          </w:p>
        </w:tc>
        <w:tc>
          <w:tcPr>
            <w:tcW w:w="3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O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Recyklace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contextualSpacing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0,200</w:t>
            </w:r>
          </w:p>
        </w:tc>
      </w:tr>
      <w:tr>
        <w:trPr>
          <w:trHeight w:val="330" w:hRule="atLeast"/>
        </w:trPr>
        <w:tc>
          <w:tcPr>
            <w:tcW w:w="85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17 01</w:t>
            </w:r>
          </w:p>
        </w:tc>
        <w:tc>
          <w:tcPr>
            <w:tcW w:w="5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Beton, cihly, tašky a keramika</w:t>
            </w:r>
          </w:p>
        </w:tc>
        <w:tc>
          <w:tcPr>
            <w:tcW w:w="3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O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Recyklace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120" w:after="120"/>
              <w:contextualSpacing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0,500</w:t>
            </w:r>
          </w:p>
        </w:tc>
      </w:tr>
      <w:tr>
        <w:trPr>
          <w:trHeight w:val="330" w:hRule="atLeast"/>
        </w:trPr>
        <w:tc>
          <w:tcPr>
            <w:tcW w:w="85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17 04</w:t>
            </w:r>
          </w:p>
        </w:tc>
        <w:tc>
          <w:tcPr>
            <w:tcW w:w="53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Kovy (včetně jejich slitin)</w:t>
            </w:r>
          </w:p>
        </w:tc>
        <w:tc>
          <w:tcPr>
            <w:tcW w:w="38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O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/>
              <w:bidi w:val="0"/>
              <w:spacing w:before="120" w:after="120"/>
              <w:contextualSpacing/>
              <w:jc w:val="lef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Recyklace</w:t>
            </w:r>
          </w:p>
        </w:tc>
        <w:tc>
          <w:tcPr>
            <w:tcW w:w="1291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bottom"/>
          </w:tcPr>
          <w:p>
            <w:pPr>
              <w:pStyle w:val="Normal"/>
              <w:spacing w:before="120" w:after="120"/>
              <w:contextualSpacing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10,00</w:t>
            </w:r>
          </w:p>
        </w:tc>
      </w:tr>
    </w:tbl>
    <w:p>
      <w:pPr>
        <w:pStyle w:val="Normal"/>
        <w:rPr>
          <w:lang w:eastAsia="ar-SA"/>
        </w:rPr>
      </w:pPr>
      <w:r>
        <w:rPr>
          <w:lang w:eastAsia="ar-SA"/>
        </w:rPr>
      </w:r>
    </w:p>
    <w:p>
      <w:pPr>
        <w:pStyle w:val="Muj1"/>
        <w:numPr>
          <w:ilvl w:val="0"/>
          <w:numId w:val="1"/>
        </w:numPr>
        <w:rPr>
          <w:lang w:eastAsia="ar-SA"/>
        </w:rPr>
      </w:pPr>
      <w:bookmarkStart w:id="20" w:name="_Toc71222176"/>
      <w:r>
        <w:rPr>
          <w:lang w:eastAsia="ar-SA"/>
        </w:rPr>
        <w:t>Specifikace materiálu</w:t>
      </w:r>
      <w:bookmarkEnd w:id="20"/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33"/>
        <w:gridCol w:w="7586"/>
        <w:gridCol w:w="396"/>
        <w:gridCol w:w="856"/>
      </w:tblGrid>
      <w:tr>
        <w:trPr>
          <w:trHeight w:val="330" w:hRule="atLeast"/>
        </w:trPr>
        <w:tc>
          <w:tcPr>
            <w:tcW w:w="78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  <w:t xml:space="preserve">Vytápění, potrubí CU 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 x 1.0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173,00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18 x 1.0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51,20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22 x 1.0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84,80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28 x 1.0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109,40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42 x 1.0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20,40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54 x 1.5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12,40</w:t>
            </w:r>
          </w:p>
        </w:tc>
      </w:tr>
      <w:tr>
        <w:trPr>
          <w:trHeight w:val="330" w:hRule="atLeast"/>
        </w:trPr>
        <w:tc>
          <w:tcPr>
            <w:tcW w:w="78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  <w:t>Vytápění, potrubí ocelové + 2x nátěr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DN 32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13,00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DN 40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13,40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DN 50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1,80</w:t>
            </w:r>
          </w:p>
        </w:tc>
      </w:tr>
      <w:tr>
        <w:trPr>
          <w:trHeight w:val="330" w:hRule="atLeast"/>
        </w:trPr>
        <w:tc>
          <w:tcPr>
            <w:tcW w:w="78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  <w:t>Vytápění, tepelná izolace trubice z pěnového PE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15 / 9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173,00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18 / 9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51,20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22/13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84,80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28 /13 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109,40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42 / 20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20,40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54 / 25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12,40</w:t>
            </w:r>
          </w:p>
        </w:tc>
      </w:tr>
      <w:tr>
        <w:trPr>
          <w:trHeight w:val="330" w:hRule="atLeast"/>
        </w:trPr>
        <w:tc>
          <w:tcPr>
            <w:tcW w:w="78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  <w:t>Vytápění, armatury závitové teplovodní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Kulový kohout DN25 mm (3/4")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Kulový kohout DN50 mm (2")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Vypouštěcí kohout DN15 mm (1/2")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Vyvažovací ventil DN20/Kvs=5,37 m3/h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Teploměr axiální d100mm, 0-120°C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Rohové regulační šroubení typ H pro tělesa VK DN15 mm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37,00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Termostatická hlavice 0-28°C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37,00</w:t>
            </w:r>
          </w:p>
        </w:tc>
      </w:tr>
      <w:tr>
        <w:trPr>
          <w:trHeight w:val="330" w:hRule="atLeast"/>
        </w:trPr>
        <w:tc>
          <w:tcPr>
            <w:tcW w:w="7819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  <w:t>vytápění, ocelová desková tělesa se spodním pravým připojením typ VK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i/>
                <w:i/>
                <w:iCs/>
                <w:color w:val="000000"/>
              </w:rPr>
            </w:pPr>
            <w:r>
              <w:rPr>
                <w:rFonts w:eastAsia="Times New Roman" w:cs="Calibri"/>
                <w:i/>
                <w:iCs/>
                <w:color w:val="000000"/>
              </w:rPr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21/6040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21/6050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21/6060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21/6070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21/6080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21/6090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21/6110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21/6120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5,00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21/6180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21/6200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21/9050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21/9070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1,00</w:t>
            </w:r>
          </w:p>
        </w:tc>
      </w:tr>
      <w:tr>
        <w:trPr>
          <w:trHeight w:val="330" w:hRule="atLeast"/>
        </w:trPr>
        <w:tc>
          <w:tcPr>
            <w:tcW w:w="233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</w:r>
          </w:p>
        </w:tc>
        <w:tc>
          <w:tcPr>
            <w:tcW w:w="758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22/9120</w:t>
            </w:r>
          </w:p>
        </w:tc>
        <w:tc>
          <w:tcPr>
            <w:tcW w:w="39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ks</w:t>
            </w:r>
          </w:p>
        </w:tc>
        <w:tc>
          <w:tcPr>
            <w:tcW w:w="856" w:type="dxa"/>
            <w:tcBorders/>
            <w:shd w:color="auto" w:fill="auto" w:val="clear"/>
            <w:vAlign w:val="bottom"/>
          </w:tcPr>
          <w:p>
            <w:pPr>
              <w:pStyle w:val="Normal"/>
              <w:spacing w:before="0" w:after="0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3,00</w:t>
            </w:r>
          </w:p>
        </w:tc>
      </w:tr>
    </w:tbl>
    <w:p>
      <w:pPr>
        <w:pStyle w:val="Normal"/>
        <w:rPr>
          <w:lang w:eastAsia="ar-SA"/>
        </w:rPr>
      </w:pPr>
      <w:r>
        <w:rPr>
          <w:lang w:eastAsia="ar-SA"/>
        </w:rPr>
      </w:r>
    </w:p>
    <w:p>
      <w:pPr>
        <w:pStyle w:val="Muj1"/>
        <w:numPr>
          <w:ilvl w:val="0"/>
          <w:numId w:val="1"/>
        </w:numPr>
        <w:rPr/>
      </w:pPr>
      <w:bookmarkStart w:id="21" w:name="_Toc510764295"/>
      <w:bookmarkStart w:id="22" w:name="_Toc71222177"/>
      <w:bookmarkEnd w:id="21"/>
      <w:r>
        <w:rPr/>
        <w:t>Příloha</w:t>
      </w:r>
      <w:bookmarkEnd w:id="22"/>
    </w:p>
    <w:p>
      <w:pPr>
        <w:pStyle w:val="Muj3"/>
        <w:numPr>
          <w:ilvl w:val="2"/>
          <w:numId w:val="1"/>
        </w:numPr>
        <w:spacing w:before="120" w:after="120"/>
        <w:contextualSpacing/>
        <w:rPr/>
      </w:pPr>
      <w:bookmarkStart w:id="23" w:name="_Toc71222178"/>
      <w:r>
        <w:rPr/>
        <w:t>Tepelný výkon ČSN EN 12831</w:t>
      </w:r>
      <w:bookmarkEnd w:id="23"/>
    </w:p>
    <w:sectPr>
      <w:headerReference w:type="default" r:id="rId3"/>
      <w:footerReference w:type="default" r:id="rId4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 Narrow">
    <w:charset w:val="ee"/>
    <w:family w:val="roman"/>
    <w:pitch w:val="variable"/>
  </w:font>
  <w:font w:name="Cambri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550872687"/>
    </w:sdtPr>
    <w:sdtContent>
      <w:p>
        <w:pPr>
          <w:pStyle w:val="Normal"/>
          <w:spacing w:before="120" w:after="120"/>
          <w:contextualSpacing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Stránka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 PAGE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5</w:t>
        </w:r>
        <w:r>
          <w:rPr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 NUMPAGES </w:instrText>
        </w:r>
        <w:r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5</w:t>
        </w:r>
        <w:r>
          <w:rPr>
            <w:sz w:val="18"/>
            <w:szCs w:val="18"/>
          </w:rPr>
          <w:fldChar w:fldCharType="end"/>
        </w:r>
      </w:p>
    </w:sdtContent>
  </w:sdt>
  <w:p>
    <w:pPr>
      <w:pStyle w:val="Zpat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Style w:val="Mkatabulky"/>
      <w:tblW w:w="5000" w:type="pct"/>
      <w:jc w:val="left"/>
      <w:tblInd w:w="0" w:type="dxa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2837"/>
      <w:gridCol w:w="6234"/>
    </w:tblGrid>
    <w:tr>
      <w:trPr>
        <w:trHeight w:val="75" w:hRule="atLeast"/>
      </w:trPr>
      <w:tc>
        <w:tcPr>
          <w:tcW w:w="2837" w:type="dxa"/>
          <w:tcBorders>
            <w:top w:val="nil"/>
            <w:left w:val="nil"/>
            <w:bottom w:val="nil"/>
            <w:right w:val="nil"/>
          </w:tcBorders>
          <w:shd w:fill="auto" w:val="clear"/>
          <w:vAlign w:val="bottom"/>
        </w:tcPr>
        <w:p>
          <w:pPr>
            <w:pStyle w:val="Normal"/>
            <w:widowControl/>
            <w:bidi w:val="0"/>
            <w:spacing w:before="120" w:after="120"/>
            <w:contextualSpacing/>
            <w:jc w:val="left"/>
            <w:rPr/>
          </w:pPr>
          <w:r>
            <w:rPr>
              <w:rFonts w:eastAsia="Times New Roman"/>
            </w:rPr>
            <w:t>D_TECHNICKÁ ZPRÁVA</w:t>
          </w:r>
        </w:p>
      </w:tc>
      <w:tc>
        <w:tcPr>
          <w:tcW w:w="6234" w:type="dxa"/>
          <w:tcBorders>
            <w:top w:val="nil"/>
            <w:left w:val="nil"/>
            <w:bottom w:val="nil"/>
            <w:right w:val="nil"/>
          </w:tcBorders>
          <w:shd w:fill="auto" w:val="clear"/>
          <w:vAlign w:val="bottom"/>
        </w:tcPr>
        <w:p>
          <w:pPr>
            <w:pStyle w:val="Normal"/>
            <w:spacing w:before="120" w:after="120"/>
            <w:contextualSpacing/>
            <w:jc w:val="right"/>
            <w:rPr>
              <w:rFonts w:eastAsia="Times New Roman" w:cs="Times New Roman"/>
              <w:bCs/>
              <w:color w:val="000000"/>
              <w:sz w:val="16"/>
              <w:szCs w:val="16"/>
            </w:rPr>
          </w:pPr>
          <w:r>
            <w:rPr>
              <w:rFonts w:eastAsia="Times New Roman" w:cs="Times New Roman"/>
              <w:bCs/>
              <w:color w:val="000000"/>
              <w:sz w:val="16"/>
              <w:szCs w:val="16"/>
            </w:rPr>
            <w:t>MODERNIZACE 5. ZÁKLADNÍ ŠKOLY V CHEBU, změna objektu dílen v rámci projektu MAP</w:t>
          </w:r>
        </w:p>
      </w:tc>
    </w:tr>
  </w:tbl>
  <w:p>
    <w:pPr>
      <w:pStyle w:val="Zhlav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ordinal"/>
      <w:lvlText w:val="D.%1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2"/>
        <w:spacing w:val="0"/>
        <w:i w:val="false"/>
        <w:u w:val="none"/>
        <w:b w:val="false"/>
        <w:kern w:val="0"/>
        <w:iCs w:val="false"/>
        <w:bCs w:val="false"/>
        <w:em w:val="none"/>
        <w:w w:val="100"/>
        <w:vanish w:val="false"/>
        <w:color w:val="000000"/>
      </w:rPr>
    </w:lvl>
    <w:lvl w:ilvl="1">
      <w:start w:val="1"/>
      <w:numFmt w:val="decimal"/>
      <w:lvlText w:val="D.1.%2."/>
      <w:lvlJc w:val="left"/>
      <w:pPr>
        <w:ind w:left="0" w:hanging="0"/>
      </w:pPr>
      <w:rPr>
        <w:smallCaps w:val="false"/>
        <w:caps w:val="false"/>
        <w:dstrike w:val="false"/>
        <w:strike w:val="false"/>
        <w:vertAlign w:val="baseline"/>
        <w:position w:val="0"/>
        <w:sz w:val="22"/>
        <w:spacing w:val="0"/>
        <w:i w:val="false"/>
        <w:u w:val="none"/>
        <w:b w:val="false"/>
        <w:kern w:val="0"/>
        <w:iCs w:val="false"/>
        <w:em w:val="none"/>
        <w:vanish w:val="false"/>
        <w:color w:val="000000"/>
      </w:rPr>
    </w:lvl>
    <w:lvl w:ilvl="2">
      <w:start w:val="1"/>
      <w:numFmt w:val="lowerLetter"/>
      <w:lvlText w:val="%3)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righ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righ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d7bc3"/>
    <w:pPr>
      <w:widowControl/>
      <w:bidi w:val="0"/>
      <w:spacing w:before="120" w:after="120"/>
      <w:contextualSpacing/>
      <w:jc w:val="left"/>
    </w:pPr>
    <w:rPr>
      <w:rFonts w:ascii="Arial Narrow" w:hAnsi="Arial Narrow" w:eastAsia="" w:eastAsiaTheme="minorEastAsia" w:cs=""/>
      <w:color w:val="auto"/>
      <w:kern w:val="0"/>
      <w:sz w:val="22"/>
      <w:szCs w:val="22"/>
      <w:lang w:eastAsia="cs-CZ" w:val="cs-CZ" w:bidi="ar-SA"/>
    </w:rPr>
  </w:style>
  <w:style w:type="paragraph" w:styleId="Nadpis1">
    <w:name w:val="Heading 1"/>
    <w:basedOn w:val="Normal"/>
    <w:next w:val="Normal"/>
    <w:link w:val="Nadpis1Char"/>
    <w:uiPriority w:val="9"/>
    <w:qFormat/>
    <w:rsid w:val="004a793f"/>
    <w:pPr>
      <w:keepNext w:val="true"/>
      <w:keepLines/>
      <w:spacing w:before="480" w:after="120"/>
      <w:contextualSpacing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al"/>
    <w:next w:val="Normal"/>
    <w:link w:val="Nadpis2Char"/>
    <w:uiPriority w:val="9"/>
    <w:semiHidden/>
    <w:unhideWhenUsed/>
    <w:qFormat/>
    <w:rsid w:val="004a793f"/>
    <w:pPr>
      <w:keepNext w:val="true"/>
      <w:keepLines/>
      <w:spacing w:before="200" w:after="120"/>
      <w:contextualSpacing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Nadpis3">
    <w:name w:val="Heading 3"/>
    <w:basedOn w:val="Normal"/>
    <w:next w:val="Normal"/>
    <w:link w:val="Nadpis3Char"/>
    <w:uiPriority w:val="9"/>
    <w:semiHidden/>
    <w:unhideWhenUsed/>
    <w:qFormat/>
    <w:rsid w:val="004a793f"/>
    <w:pPr>
      <w:keepNext w:val="true"/>
      <w:keepLines/>
      <w:spacing w:before="200" w:after="120"/>
      <w:contextualSpacing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draznn">
    <w:name w:val="Zdůraznění"/>
    <w:basedOn w:val="DefaultParagraphFont"/>
    <w:uiPriority w:val="20"/>
    <w:qFormat/>
    <w:rsid w:val="00732190"/>
    <w:rPr>
      <w:i/>
      <w:iCs/>
    </w:rPr>
  </w:style>
  <w:style w:type="character" w:styleId="Styl2Char" w:customStyle="1">
    <w:name w:val="Styl2 Char"/>
    <w:basedOn w:val="DefaultParagraphFont"/>
    <w:link w:val="Styl2"/>
    <w:qFormat/>
    <w:locked/>
    <w:rsid w:val="00732190"/>
    <w:rPr>
      <w:rFonts w:ascii="Arial Narrow" w:hAnsi="Arial Narrow" w:eastAsia="Times New Roman" w:cs="Times New Roman"/>
      <w:b/>
      <w:szCs w:val="20"/>
      <w:lang w:eastAsia="ar-SA"/>
    </w:rPr>
  </w:style>
  <w:style w:type="character" w:styleId="Styl3Char" w:customStyle="1">
    <w:name w:val="Styl3 Char"/>
    <w:basedOn w:val="Styl2Char"/>
    <w:link w:val="Styl3"/>
    <w:qFormat/>
    <w:locked/>
    <w:rsid w:val="00732190"/>
    <w:rPr>
      <w:rFonts w:ascii="Arial Narrow" w:hAnsi="Arial Narrow" w:eastAsia="" w:cs="Times New Roman" w:eastAsiaTheme="minorEastAsia"/>
      <w:b/>
      <w:szCs w:val="20"/>
      <w:lang w:eastAsia="cs-CZ"/>
    </w:rPr>
  </w:style>
  <w:style w:type="character" w:styleId="Styl4Char" w:customStyle="1">
    <w:name w:val="Styl4 Char"/>
    <w:basedOn w:val="DefaultParagraphFont"/>
    <w:link w:val="Styl4"/>
    <w:qFormat/>
    <w:locked/>
    <w:rsid w:val="00732190"/>
    <w:rPr>
      <w:rFonts w:ascii="Arial Narrow" w:hAnsi="Arial Narrow" w:eastAsia="Times New Roman" w:cs="Times New Roman"/>
      <w:szCs w:val="20"/>
      <w:lang w:eastAsia="ar-SA"/>
    </w:rPr>
  </w:style>
  <w:style w:type="character" w:styleId="Normln1Char" w:customStyle="1">
    <w:name w:val="Normální1 Char"/>
    <w:basedOn w:val="DefaultParagraphFont"/>
    <w:link w:val="Normln1"/>
    <w:qFormat/>
    <w:locked/>
    <w:rsid w:val="00732190"/>
    <w:rPr>
      <w:rFonts w:ascii="Arial Narrow" w:hAnsi="Arial Narrow" w:eastAsia="" w:eastAsiaTheme="minorEastAsia"/>
      <w:lang w:eastAsia="cs-CZ"/>
    </w:rPr>
  </w:style>
  <w:style w:type="character" w:styleId="Odstavec1Char" w:customStyle="1">
    <w:name w:val="Odstavec1 Char"/>
    <w:basedOn w:val="Normln1Char"/>
    <w:link w:val="Odstavec1"/>
    <w:qFormat/>
    <w:locked/>
    <w:rsid w:val="009f61d6"/>
    <w:rPr>
      <w:rFonts w:ascii="Arial Narrow" w:hAnsi="Arial Narrow" w:eastAsia="" w:eastAsiaTheme="minorEastAsia"/>
      <w:lang w:eastAsia="cs-CZ"/>
    </w:rPr>
  </w:style>
  <w:style w:type="character" w:styleId="Styl7Char" w:customStyle="1">
    <w:name w:val="Styl7 Char"/>
    <w:basedOn w:val="DefaultParagraphFont"/>
    <w:link w:val="Styl7"/>
    <w:qFormat/>
    <w:rsid w:val="00485c6e"/>
    <w:rPr>
      <w:rFonts w:ascii="Arial Narrow" w:hAnsi="Arial Narrow" w:eastAsia="" w:eastAsiaTheme="minorEastAsia"/>
      <w:bCs/>
      <w:lang w:eastAsia="cs-CZ"/>
    </w:rPr>
  </w:style>
  <w:style w:type="character" w:styleId="Styl6Char" w:customStyle="1">
    <w:name w:val="Styl6 Char"/>
    <w:basedOn w:val="DefaultParagraphFont"/>
    <w:link w:val="Styl6"/>
    <w:qFormat/>
    <w:rsid w:val="00485c6e"/>
    <w:rPr>
      <w:rFonts w:ascii="Arial Narrow" w:hAnsi="Arial Narrow" w:eastAsia="" w:eastAsiaTheme="minorEastAsia"/>
      <w:b/>
      <w:bCs/>
      <w:lang w:eastAsia="cs-CZ"/>
    </w:rPr>
  </w:style>
  <w:style w:type="character" w:styleId="MalChar" w:customStyle="1">
    <w:name w:val="Malý Char"/>
    <w:basedOn w:val="DefaultParagraphFont"/>
    <w:link w:val="Mal"/>
    <w:qFormat/>
    <w:rsid w:val="00e43da8"/>
    <w:rPr>
      <w:rFonts w:ascii="Arial Narrow" w:hAnsi="Arial Narrow" w:eastAsia="" w:eastAsiaTheme="minorEastAsia"/>
      <w:sz w:val="18"/>
      <w:szCs w:val="16"/>
      <w:lang w:eastAsia="cs-CZ"/>
    </w:rPr>
  </w:style>
  <w:style w:type="character" w:styleId="OdstavecseseznamemChar" w:customStyle="1">
    <w:name w:val="Odstavec se seznamem Char"/>
    <w:basedOn w:val="DefaultParagraphFont"/>
    <w:link w:val="Odstavecseseznamem"/>
    <w:uiPriority w:val="34"/>
    <w:qFormat/>
    <w:rsid w:val="00be32c3"/>
    <w:rPr>
      <w:rFonts w:ascii="Arial Narrow" w:hAnsi="Arial Narrow" w:eastAsia="" w:eastAsiaTheme="minorEastAsia"/>
      <w:lang w:eastAsia="cs-CZ"/>
    </w:rPr>
  </w:style>
  <w:style w:type="character" w:styleId="Muj1Char" w:customStyle="1">
    <w:name w:val="Muj 1 Char"/>
    <w:basedOn w:val="OdstavecseseznamemChar"/>
    <w:link w:val="Muj1"/>
    <w:qFormat/>
    <w:rsid w:val="00fe3472"/>
    <w:rPr>
      <w:rFonts w:ascii="Arial Narrow" w:hAnsi="Arial Narrow" w:eastAsia="" w:eastAsiaTheme="minorEastAsia"/>
      <w:bCs/>
      <w:sz w:val="28"/>
      <w:lang w:eastAsia="cs-CZ"/>
    </w:rPr>
  </w:style>
  <w:style w:type="character" w:styleId="Muj2Char" w:customStyle="1">
    <w:name w:val="Muj 2 Char"/>
    <w:basedOn w:val="Muj1Char"/>
    <w:link w:val="Muj2"/>
    <w:qFormat/>
    <w:rsid w:val="004a793f"/>
    <w:rPr>
      <w:rFonts w:ascii="Arial Narrow" w:hAnsi="Arial Narrow" w:eastAsia="" w:eastAsiaTheme="minorEastAsia"/>
      <w:bCs/>
      <w:sz w:val="28"/>
      <w:lang w:eastAsia="cs-CZ"/>
    </w:rPr>
  </w:style>
  <w:style w:type="character" w:styleId="Muj3Char" w:customStyle="1">
    <w:name w:val="Muj 3 Char"/>
    <w:basedOn w:val="OdstavecseseznamemChar"/>
    <w:link w:val="Muj3"/>
    <w:qFormat/>
    <w:rsid w:val="004a793f"/>
    <w:rPr>
      <w:rFonts w:ascii="Arial Narrow" w:hAnsi="Arial Narrow" w:eastAsia="" w:eastAsiaTheme="minorEastAsia"/>
      <w:b/>
      <w:sz w:val="18"/>
      <w:lang w:eastAsia="cs-CZ"/>
    </w:rPr>
  </w:style>
  <w:style w:type="character" w:styleId="Nadpis1Char" w:customStyle="1">
    <w:name w:val="Nadpis 1 Char"/>
    <w:basedOn w:val="DefaultParagraphFont"/>
    <w:link w:val="Nadpis10"/>
    <w:uiPriority w:val="9"/>
    <w:qFormat/>
    <w:rsid w:val="004a793f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  <w:lang w:eastAsia="cs-CZ"/>
    </w:rPr>
  </w:style>
  <w:style w:type="character" w:styleId="Nadpis2Char" w:customStyle="1">
    <w:name w:val="Nadpis 2 Char"/>
    <w:basedOn w:val="DefaultParagraphFont"/>
    <w:link w:val="Nadpis2"/>
    <w:uiPriority w:val="9"/>
    <w:semiHidden/>
    <w:qFormat/>
    <w:rsid w:val="004a793f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cs-CZ"/>
    </w:rPr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4a793f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lang w:eastAsia="cs-CZ"/>
    </w:rPr>
  </w:style>
  <w:style w:type="character" w:styleId="Internetovodkaz">
    <w:name w:val="Internetový odkaz"/>
    <w:basedOn w:val="DefaultParagraphFont"/>
    <w:uiPriority w:val="99"/>
    <w:unhideWhenUsed/>
    <w:rsid w:val="004a793f"/>
    <w:rPr>
      <w:color w:val="0000FF" w:themeColor="hyperlink"/>
      <w:u w:val="single"/>
    </w:rPr>
  </w:style>
  <w:style w:type="character" w:styleId="TurcChar" w:customStyle="1">
    <w:name w:val="Šturc Char"/>
    <w:basedOn w:val="DefaultParagraphFont"/>
    <w:link w:val="turc"/>
    <w:qFormat/>
    <w:rsid w:val="007970fe"/>
    <w:rPr>
      <w:rFonts w:ascii="Arial Narrow" w:hAnsi="Arial Narrow" w:eastAsia="" w:eastAsiaTheme="minorEastAsia"/>
      <w:shd w:fill="FFC000" w:val="clear"/>
      <w:lang w:eastAsia="cs-CZ"/>
    </w:rPr>
  </w:style>
  <w:style w:type="character" w:styleId="ZkladntextChar" w:customStyle="1">
    <w:name w:val="Základní text Char"/>
    <w:basedOn w:val="DefaultParagraphFont"/>
    <w:link w:val="Zkladntext"/>
    <w:qFormat/>
    <w:rsid w:val="00d16957"/>
    <w:rPr>
      <w:rFonts w:ascii="Times New Roman" w:hAnsi="Times New Roman" w:eastAsia="SimSun" w:cs="Mangal"/>
      <w:sz w:val="24"/>
      <w:szCs w:val="24"/>
      <w:lang w:eastAsia="zh-CN" w:bidi="hi-IN"/>
    </w:rPr>
  </w:style>
  <w:style w:type="character" w:styleId="ZkladntextodsazenChar" w:customStyle="1">
    <w:name w:val="Základní text odsazený Char"/>
    <w:basedOn w:val="DefaultParagraphFont"/>
    <w:link w:val="Zkladntextodsazen"/>
    <w:uiPriority w:val="99"/>
    <w:semiHidden/>
    <w:qFormat/>
    <w:rsid w:val="00590c08"/>
    <w:rPr>
      <w:rFonts w:ascii="Arial Narrow" w:hAnsi="Arial Narrow" w:eastAsia="" w:eastAsiaTheme="minorEastAsia"/>
      <w:lang w:eastAsia="cs-CZ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590c08"/>
    <w:rPr>
      <w:rFonts w:ascii="Arial Narrow" w:hAnsi="Arial Narrow" w:eastAsia="" w:eastAsiaTheme="minorEastAsia"/>
      <w:lang w:eastAsia="cs-CZ"/>
    </w:rPr>
  </w:style>
  <w:style w:type="character" w:styleId="ZpatChar" w:customStyle="1">
    <w:name w:val="Zápatí Char"/>
    <w:basedOn w:val="DefaultParagraphFont"/>
    <w:link w:val="Zpat"/>
    <w:uiPriority w:val="99"/>
    <w:qFormat/>
    <w:rsid w:val="00590c08"/>
    <w:rPr>
      <w:rFonts w:ascii="Arial Narrow" w:hAnsi="Arial Narrow" w:eastAsia="" w:eastAsiaTheme="minorEastAsia"/>
      <w:lang w:eastAsia="cs-CZ"/>
    </w:rPr>
  </w:style>
  <w:style w:type="character" w:styleId="Ab11" w:customStyle="1">
    <w:name w:val="ab11"/>
    <w:basedOn w:val="DefaultParagraphFont"/>
    <w:qFormat/>
    <w:rsid w:val="009f61d6"/>
    <w:rPr/>
  </w:style>
  <w:style w:type="character" w:styleId="Ab10" w:customStyle="1">
    <w:name w:val="ab10"/>
    <w:basedOn w:val="DefaultParagraphFont"/>
    <w:qFormat/>
    <w:rsid w:val="009f61d6"/>
    <w:rPr/>
  </w:style>
  <w:style w:type="character" w:styleId="H1a" w:customStyle="1">
    <w:name w:val="h1a"/>
    <w:basedOn w:val="DefaultParagraphFont"/>
    <w:qFormat/>
    <w:rsid w:val="009f61d6"/>
    <w:rPr/>
  </w:style>
  <w:style w:type="character" w:styleId="Odkaznarejstk">
    <w:name w:val="Odkaz na rejstřík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lotextu">
    <w:name w:val="Body Text"/>
    <w:basedOn w:val="Normal"/>
    <w:link w:val="ZkladntextChar"/>
    <w:rsid w:val="00d16957"/>
    <w:pPr>
      <w:widowControl w:val="false"/>
    </w:pPr>
    <w:rPr>
      <w:rFonts w:ascii="Times New Roman" w:hAnsi="Times New Roman" w:eastAsia="SimSun" w:cs="Mangal"/>
      <w:sz w:val="24"/>
      <w:szCs w:val="24"/>
      <w:lang w:eastAsia="zh-CN" w:bidi="hi-IN"/>
    </w:rPr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</w:rPr>
  </w:style>
  <w:style w:type="paragraph" w:styleId="Normln1" w:customStyle="1">
    <w:name w:val="Normální1"/>
    <w:basedOn w:val="Normal"/>
    <w:link w:val="Normln1Char"/>
    <w:qFormat/>
    <w:rsid w:val="00732190"/>
    <w:pPr/>
    <w:rPr/>
  </w:style>
  <w:style w:type="paragraph" w:styleId="Styl2" w:customStyle="1">
    <w:name w:val="Styl2"/>
    <w:basedOn w:val="ListParagraph"/>
    <w:next w:val="Normln1"/>
    <w:link w:val="Styl2Char"/>
    <w:qFormat/>
    <w:rsid w:val="00732190"/>
    <w:pPr>
      <w:suppressAutoHyphens w:val="true"/>
    </w:pPr>
    <w:rPr>
      <w:rFonts w:eastAsia="Times New Roman" w:cs="Times New Roman"/>
      <w:b/>
      <w:szCs w:val="20"/>
      <w:lang w:eastAsia="ar-SA"/>
    </w:rPr>
  </w:style>
  <w:style w:type="paragraph" w:styleId="Styl3" w:customStyle="1">
    <w:name w:val="Styl3"/>
    <w:basedOn w:val="Normal"/>
    <w:next w:val="Normln1"/>
    <w:link w:val="Styl3Char"/>
    <w:qFormat/>
    <w:rsid w:val="00732190"/>
    <w:pPr/>
    <w:rPr/>
  </w:style>
  <w:style w:type="paragraph" w:styleId="Styl4" w:customStyle="1">
    <w:name w:val="Styl4"/>
    <w:basedOn w:val="ListParagraph"/>
    <w:next w:val="Normln1"/>
    <w:link w:val="Styl4Char"/>
    <w:qFormat/>
    <w:rsid w:val="00732190"/>
    <w:pPr>
      <w:suppressAutoHyphens w:val="true"/>
    </w:pPr>
    <w:rPr>
      <w:rFonts w:eastAsia="Times New Roman" w:cs="Times New Roman"/>
      <w:szCs w:val="20"/>
      <w:lang w:eastAsia="ar-SA"/>
    </w:rPr>
  </w:style>
  <w:style w:type="paragraph" w:styleId="Odstavec" w:customStyle="1">
    <w:name w:val="odstavec"/>
    <w:basedOn w:val="Normln1"/>
    <w:qFormat/>
    <w:rsid w:val="00732190"/>
    <w:pPr/>
    <w:rPr/>
  </w:style>
  <w:style w:type="paragraph" w:styleId="Odstavec1" w:customStyle="1">
    <w:name w:val="Odstavec1"/>
    <w:basedOn w:val="Normln1"/>
    <w:link w:val="Odstavec1Char"/>
    <w:qFormat/>
    <w:rsid w:val="009f61d6"/>
    <w:pPr>
      <w:spacing w:before="120" w:after="0"/>
      <w:contextualSpacing/>
    </w:pPr>
    <w:rPr/>
  </w:style>
  <w:style w:type="paragraph" w:styleId="ListParagraph">
    <w:name w:val="List Paragraph"/>
    <w:basedOn w:val="Normal"/>
    <w:link w:val="OdstavecseseznamemChar"/>
    <w:uiPriority w:val="34"/>
    <w:qFormat/>
    <w:rsid w:val="00732190"/>
    <w:pPr>
      <w:ind w:left="720" w:hanging="0"/>
    </w:pPr>
    <w:rPr/>
  </w:style>
  <w:style w:type="paragraph" w:styleId="Vrazn" w:customStyle="1">
    <w:name w:val="Výrazný"/>
    <w:basedOn w:val="Normal"/>
    <w:next w:val="Normal"/>
    <w:qFormat/>
    <w:rsid w:val="00732190"/>
    <w:pPr/>
    <w:rPr>
      <w:b/>
    </w:rPr>
  </w:style>
  <w:style w:type="paragraph" w:styleId="Tun2" w:customStyle="1">
    <w:name w:val="Tučný 2"/>
    <w:basedOn w:val="Normal"/>
    <w:qFormat/>
    <w:rsid w:val="00732190"/>
    <w:pPr/>
    <w:rPr/>
  </w:style>
  <w:style w:type="paragraph" w:styleId="Tenk2" w:customStyle="1">
    <w:name w:val="Tenký 2"/>
    <w:basedOn w:val="Normal"/>
    <w:qFormat/>
    <w:rsid w:val="00732190"/>
    <w:pPr/>
    <w:rPr/>
  </w:style>
  <w:style w:type="paragraph" w:styleId="Styl7" w:customStyle="1">
    <w:name w:val="Styl7"/>
    <w:basedOn w:val="ListParagraph"/>
    <w:link w:val="Styl7Char"/>
    <w:qFormat/>
    <w:rsid w:val="00485c6e"/>
    <w:pPr>
      <w:spacing w:beforeAutospacing="1" w:afterAutospacing="1"/>
      <w:contextualSpacing/>
    </w:pPr>
    <w:rPr>
      <w:bCs/>
    </w:rPr>
  </w:style>
  <w:style w:type="paragraph" w:styleId="Styl6" w:customStyle="1">
    <w:name w:val="Styl6"/>
    <w:basedOn w:val="ListParagraph"/>
    <w:next w:val="Normal"/>
    <w:link w:val="Styl6Char"/>
    <w:qFormat/>
    <w:rsid w:val="00485c6e"/>
    <w:pPr>
      <w:spacing w:beforeAutospacing="1" w:afterAutospacing="1"/>
      <w:contextualSpacing/>
    </w:pPr>
    <w:rPr>
      <w:b/>
      <w:bCs/>
    </w:rPr>
  </w:style>
  <w:style w:type="paragraph" w:styleId="Mal" w:customStyle="1">
    <w:name w:val="Malý"/>
    <w:basedOn w:val="Normal"/>
    <w:next w:val="Normal"/>
    <w:link w:val="MalChar"/>
    <w:qFormat/>
    <w:rsid w:val="00e43da8"/>
    <w:pPr/>
    <w:rPr>
      <w:sz w:val="18"/>
      <w:szCs w:val="16"/>
    </w:rPr>
  </w:style>
  <w:style w:type="paragraph" w:styleId="Obsah1">
    <w:name w:val="TOC 1"/>
    <w:basedOn w:val="Normal"/>
    <w:next w:val="Normal"/>
    <w:autoRedefine/>
    <w:uiPriority w:val="39"/>
    <w:unhideWhenUsed/>
    <w:rsid w:val="004a793f"/>
    <w:pPr/>
    <w:rPr/>
  </w:style>
  <w:style w:type="paragraph" w:styleId="Muj1" w:customStyle="1">
    <w:name w:val="Muj 1"/>
    <w:basedOn w:val="ListParagraph"/>
    <w:next w:val="Normal"/>
    <w:link w:val="Muj1Char"/>
    <w:qFormat/>
    <w:rsid w:val="00fe3472"/>
    <w:pPr/>
    <w:rPr>
      <w:bCs/>
      <w:sz w:val="28"/>
    </w:rPr>
  </w:style>
  <w:style w:type="paragraph" w:styleId="Muj2" w:customStyle="1">
    <w:name w:val="Muj 2"/>
    <w:basedOn w:val="Muj1"/>
    <w:next w:val="Normal"/>
    <w:link w:val="Muj2Char"/>
    <w:qFormat/>
    <w:rsid w:val="004a793f"/>
    <w:pPr/>
    <w:rPr/>
  </w:style>
  <w:style w:type="paragraph" w:styleId="Muj3" w:customStyle="1">
    <w:name w:val="Muj 3"/>
    <w:basedOn w:val="ListParagraph"/>
    <w:next w:val="Normal"/>
    <w:link w:val="Muj3Char"/>
    <w:qFormat/>
    <w:rsid w:val="004a793f"/>
    <w:pPr/>
    <w:rPr>
      <w:b/>
      <w:sz w:val="18"/>
    </w:rPr>
  </w:style>
  <w:style w:type="paragraph" w:styleId="Obsah2">
    <w:name w:val="TOC 2"/>
    <w:basedOn w:val="Normal"/>
    <w:next w:val="Normal"/>
    <w:autoRedefine/>
    <w:uiPriority w:val="39"/>
    <w:unhideWhenUsed/>
    <w:rsid w:val="004a793f"/>
    <w:pPr/>
    <w:rPr/>
  </w:style>
  <w:style w:type="paragraph" w:styleId="Obsah3">
    <w:name w:val="TOC 3"/>
    <w:basedOn w:val="Normal"/>
    <w:next w:val="Normal"/>
    <w:autoRedefine/>
    <w:uiPriority w:val="39"/>
    <w:unhideWhenUsed/>
    <w:rsid w:val="004a793f"/>
    <w:pPr/>
    <w:rPr>
      <w:b/>
      <w:sz w:val="18"/>
    </w:rPr>
  </w:style>
  <w:style w:type="paragraph" w:styleId="Turc" w:customStyle="1">
    <w:name w:val="Šturc"/>
    <w:basedOn w:val="Normal"/>
    <w:link w:val="turcChar"/>
    <w:qFormat/>
    <w:rsid w:val="007970fe"/>
    <w:pPr>
      <w:shd w:val="clear" w:color="auto" w:fill="FFC000"/>
      <w:spacing w:before="120" w:after="0"/>
      <w:contextualSpacing/>
    </w:pPr>
    <w:rPr/>
  </w:style>
  <w:style w:type="paragraph" w:styleId="4ZakladniPGP" w:customStyle="1">
    <w:name w:val="4 Zakladni PGP"/>
    <w:qFormat/>
    <w:rsid w:val="00e347ca"/>
    <w:pPr>
      <w:widowControl w:val="false"/>
      <w:bidi w:val="0"/>
      <w:spacing w:lineRule="exact" w:line="340" w:before="0" w:after="0"/>
      <w:jc w:val="both"/>
    </w:pPr>
    <w:rPr>
      <w:rFonts w:ascii="Arial" w:hAnsi="Arial" w:eastAsia="SimSun" w:cs="Mangal"/>
      <w:color w:val="auto"/>
      <w:kern w:val="0"/>
      <w:sz w:val="22"/>
      <w:szCs w:val="24"/>
      <w:lang w:eastAsia="zh-CN" w:bidi="hi-IN" w:val="cs-CZ"/>
    </w:rPr>
  </w:style>
  <w:style w:type="paragraph" w:styleId="Odsazentlatextu">
    <w:name w:val="Body Text Indent"/>
    <w:basedOn w:val="Normal"/>
    <w:link w:val="ZkladntextodsazenChar"/>
    <w:uiPriority w:val="99"/>
    <w:semiHidden/>
    <w:unhideWhenUsed/>
    <w:rsid w:val="00590c08"/>
    <w:pPr>
      <w:ind w:left="283" w:hanging="0"/>
    </w:pPr>
    <w:rPr/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590c08"/>
    <w:pPr>
      <w:tabs>
        <w:tab w:val="clear" w:pos="708"/>
        <w:tab w:val="center" w:pos="4536" w:leader="none"/>
        <w:tab w:val="right" w:pos="9072" w:leader="none"/>
      </w:tabs>
      <w:spacing w:before="120" w:after="0"/>
      <w:contextualSpacing/>
    </w:pPr>
    <w:rPr/>
  </w:style>
  <w:style w:type="paragraph" w:styleId="Zpat">
    <w:name w:val="Footer"/>
    <w:basedOn w:val="Normal"/>
    <w:link w:val="ZpatChar"/>
    <w:uiPriority w:val="99"/>
    <w:unhideWhenUsed/>
    <w:rsid w:val="00590c08"/>
    <w:pPr>
      <w:tabs>
        <w:tab w:val="clear" w:pos="708"/>
        <w:tab w:val="center" w:pos="4536" w:leader="none"/>
        <w:tab w:val="right" w:pos="9072" w:leader="none"/>
      </w:tabs>
      <w:spacing w:before="120" w:after="0"/>
      <w:contextualSpacing/>
    </w:pPr>
    <w:rPr/>
  </w:style>
  <w:style w:type="paragraph" w:styleId="Nadpis11" w:customStyle="1">
    <w:name w:val="Nadpis1"/>
    <w:basedOn w:val="Normal"/>
    <w:qFormat/>
    <w:rsid w:val="009f61d6"/>
    <w:pPr>
      <w:spacing w:beforeAutospacing="1" w:afterAutospacing="1"/>
      <w:contextualSpacing/>
    </w:pPr>
    <w:rPr>
      <w:rFonts w:ascii="Courier New" w:hAnsi="Courier New"/>
      <w:b/>
      <w:sz w:val="20"/>
      <w:u w:val="single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732190"/>
  </w:style>
  <w:style w:type="numbering" w:styleId="Styl5" w:customStyle="1">
    <w:name w:val="Styl5"/>
    <w:uiPriority w:val="99"/>
    <w:qFormat/>
    <w:rsid w:val="00732190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091c8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22DA7-CF52-4B0E-9B91-E80C7A20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Application>LibreOffice/6.3.6.2$Windows_X86_64 LibreOffice_project/2196df99b074d8a661f4036fca8fa0cbfa33a497</Application>
  <Pages>5</Pages>
  <Words>1084</Words>
  <Characters>5942</Characters>
  <CharactersWithSpaces>6834</CharactersWithSpaces>
  <Paragraphs>205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2021-05-04T12:50:00Z</dcterms:created>
  <dc:creator>Ing. Pavel Šturc</dc:creator>
  <dc:description/>
  <dc:language>cs-CZ</dc:language>
  <cp:lastModifiedBy/>
  <cp:lastPrinted>2021-05-06T17:37:00Z</cp:lastPrinted>
  <dcterms:modified xsi:type="dcterms:W3CDTF">2021-05-10T10:32:57Z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